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FDC" w:rsidRDefault="00381FDC" w:rsidP="00FE33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231F20"/>
          <w:sz w:val="26"/>
          <w:szCs w:val="26"/>
        </w:rPr>
      </w:pPr>
    </w:p>
    <w:p w:rsidR="00FE3384" w:rsidRPr="00FE3384" w:rsidRDefault="00FE3384" w:rsidP="00FE33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231F20"/>
          <w:sz w:val="26"/>
          <w:szCs w:val="26"/>
        </w:rPr>
      </w:pPr>
      <w:r w:rsidRPr="00FE3384">
        <w:rPr>
          <w:rFonts w:ascii="Arial" w:hAnsi="Arial" w:cs="Arial"/>
          <w:b/>
          <w:color w:val="231F20"/>
          <w:sz w:val="26"/>
          <w:szCs w:val="26"/>
        </w:rPr>
        <w:t>Period of Holding</w:t>
      </w:r>
      <w:r>
        <w:rPr>
          <w:rFonts w:ascii="Arial" w:hAnsi="Arial" w:cs="Arial"/>
          <w:b/>
          <w:color w:val="231F20"/>
          <w:sz w:val="26"/>
          <w:szCs w:val="26"/>
        </w:rPr>
        <w:t xml:space="preserve"> [2(42A)]</w:t>
      </w:r>
    </w:p>
    <w:p w:rsidR="00FE3384" w:rsidRDefault="00FE3384" w:rsidP="00413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413276" w:rsidRDefault="00413276" w:rsidP="00413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413276">
        <w:rPr>
          <w:rFonts w:ascii="Arial" w:hAnsi="Arial" w:cs="Arial"/>
          <w:color w:val="231F20"/>
          <w:sz w:val="24"/>
          <w:szCs w:val="24"/>
        </w:rPr>
        <w:t>(</w:t>
      </w:r>
      <w:r w:rsidRPr="00413276">
        <w:rPr>
          <w:rFonts w:ascii="Arial" w:hAnsi="Arial" w:cs="Arial"/>
          <w:i/>
          <w:iCs/>
          <w:color w:val="231F20"/>
          <w:sz w:val="24"/>
          <w:szCs w:val="24"/>
        </w:rPr>
        <w:t>VIII</w:t>
      </w:r>
      <w:r w:rsidRPr="00413276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413276">
        <w:rPr>
          <w:rFonts w:ascii="Arial" w:hAnsi="Arial" w:cs="Arial"/>
          <w:color w:val="231F20"/>
          <w:sz w:val="24"/>
          <w:szCs w:val="24"/>
        </w:rPr>
        <w:t>in</w:t>
      </w:r>
      <w:proofErr w:type="gramEnd"/>
      <w:r w:rsidRPr="00413276">
        <w:rPr>
          <w:rFonts w:ascii="Arial" w:hAnsi="Arial" w:cs="Arial"/>
          <w:color w:val="231F20"/>
          <w:sz w:val="24"/>
          <w:szCs w:val="24"/>
        </w:rPr>
        <w:t xml:space="preserve"> clause (</w:t>
      </w:r>
      <w:r w:rsidRPr="00413276">
        <w:rPr>
          <w:rFonts w:ascii="Arial" w:hAnsi="Arial" w:cs="Arial"/>
          <w:i/>
          <w:iCs/>
          <w:color w:val="231F20"/>
          <w:sz w:val="24"/>
          <w:szCs w:val="24"/>
        </w:rPr>
        <w:t>42A</w:t>
      </w:r>
      <w:r w:rsidRPr="00413276">
        <w:rPr>
          <w:rFonts w:ascii="Arial" w:hAnsi="Arial" w:cs="Arial"/>
          <w:color w:val="231F20"/>
          <w:sz w:val="24"/>
          <w:szCs w:val="24"/>
        </w:rPr>
        <w:t>),––</w:t>
      </w:r>
    </w:p>
    <w:p w:rsidR="00FE3384" w:rsidRPr="00413276" w:rsidRDefault="00FE3384" w:rsidP="00413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413276" w:rsidRPr="00FE3384" w:rsidRDefault="00413276" w:rsidP="00FE33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FE3384">
        <w:rPr>
          <w:rFonts w:ascii="Arial" w:hAnsi="Arial" w:cs="Arial"/>
          <w:color w:val="231F20"/>
          <w:sz w:val="24"/>
          <w:szCs w:val="24"/>
        </w:rPr>
        <w:t xml:space="preserve">in the proviso, with effect from the </w:t>
      </w:r>
      <w:r w:rsidRPr="00FE3384">
        <w:rPr>
          <w:rFonts w:ascii="Arial" w:hAnsi="Arial" w:cs="Arial"/>
          <w:b/>
          <w:color w:val="231F20"/>
          <w:sz w:val="24"/>
          <w:szCs w:val="24"/>
        </w:rPr>
        <w:t>1st day of April, 2015</w:t>
      </w:r>
      <w:r w:rsidRPr="00FE3384">
        <w:rPr>
          <w:rFonts w:ascii="Arial" w:hAnsi="Arial" w:cs="Arial"/>
          <w:color w:val="231F20"/>
          <w:sz w:val="24"/>
          <w:szCs w:val="24"/>
        </w:rPr>
        <w:t>,––</w:t>
      </w:r>
    </w:p>
    <w:p w:rsidR="00FE3384" w:rsidRPr="00FE3384" w:rsidRDefault="00FE3384" w:rsidP="00FE3384">
      <w:pPr>
        <w:pStyle w:val="ListParagraph"/>
        <w:autoSpaceDE w:val="0"/>
        <w:autoSpaceDN w:val="0"/>
        <w:adjustRightInd w:val="0"/>
        <w:spacing w:after="0" w:line="240" w:lineRule="auto"/>
        <w:ind w:left="735"/>
        <w:jc w:val="both"/>
        <w:rPr>
          <w:rFonts w:ascii="Arial" w:hAnsi="Arial" w:cs="Arial"/>
          <w:color w:val="231F20"/>
          <w:sz w:val="24"/>
          <w:szCs w:val="24"/>
        </w:rPr>
      </w:pPr>
    </w:p>
    <w:p w:rsidR="00413276" w:rsidRPr="00413276" w:rsidRDefault="00413276" w:rsidP="00413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413276">
        <w:rPr>
          <w:rFonts w:ascii="Arial" w:hAnsi="Arial" w:cs="Arial"/>
          <w:color w:val="231F20"/>
          <w:sz w:val="24"/>
          <w:szCs w:val="24"/>
        </w:rPr>
        <w:t>(</w:t>
      </w:r>
      <w:proofErr w:type="spellStart"/>
      <w:r w:rsidRPr="00413276">
        <w:rPr>
          <w:rFonts w:ascii="Arial" w:hAnsi="Arial" w:cs="Arial"/>
          <w:i/>
          <w:iCs/>
          <w:color w:val="231F20"/>
          <w:sz w:val="24"/>
          <w:szCs w:val="24"/>
        </w:rPr>
        <w:t>i</w:t>
      </w:r>
      <w:proofErr w:type="spellEnd"/>
      <w:r w:rsidRPr="00413276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413276">
        <w:rPr>
          <w:rFonts w:ascii="Arial" w:hAnsi="Arial" w:cs="Arial"/>
          <w:color w:val="231F20"/>
          <w:sz w:val="24"/>
          <w:szCs w:val="24"/>
        </w:rPr>
        <w:t>for</w:t>
      </w:r>
      <w:proofErr w:type="gramEnd"/>
      <w:r w:rsidRPr="00413276">
        <w:rPr>
          <w:rFonts w:ascii="Arial" w:hAnsi="Arial" w:cs="Arial"/>
          <w:color w:val="231F20"/>
          <w:sz w:val="24"/>
          <w:szCs w:val="24"/>
        </w:rPr>
        <w:t xml:space="preserve"> the words “a share held in a company or any other security listed in a </w:t>
      </w:r>
      <w:proofErr w:type="spellStart"/>
      <w:r w:rsidRPr="00413276">
        <w:rPr>
          <w:rFonts w:ascii="Arial" w:hAnsi="Arial" w:cs="Arial"/>
          <w:color w:val="231F20"/>
          <w:sz w:val="24"/>
          <w:szCs w:val="24"/>
        </w:rPr>
        <w:t>recognised</w:t>
      </w:r>
      <w:proofErr w:type="spellEnd"/>
    </w:p>
    <w:p w:rsidR="00413276" w:rsidRDefault="00413276" w:rsidP="00413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proofErr w:type="gramStart"/>
      <w:r w:rsidRPr="00413276">
        <w:rPr>
          <w:rFonts w:ascii="Arial" w:hAnsi="Arial" w:cs="Arial"/>
          <w:color w:val="231F20"/>
          <w:sz w:val="24"/>
          <w:szCs w:val="24"/>
        </w:rPr>
        <w:t>stock</w:t>
      </w:r>
      <w:proofErr w:type="gramEnd"/>
      <w:r w:rsidRPr="00413276">
        <w:rPr>
          <w:rFonts w:ascii="Arial" w:hAnsi="Arial" w:cs="Arial"/>
          <w:color w:val="231F20"/>
          <w:sz w:val="24"/>
          <w:szCs w:val="24"/>
        </w:rPr>
        <w:t xml:space="preserve"> exchange in India”, the words and brackets “a security (other than a unit) listed in a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proofErr w:type="spellStart"/>
      <w:r w:rsidRPr="00413276">
        <w:rPr>
          <w:rFonts w:ascii="Arial" w:hAnsi="Arial" w:cs="Arial"/>
          <w:color w:val="231F20"/>
          <w:sz w:val="24"/>
          <w:szCs w:val="24"/>
        </w:rPr>
        <w:t>recognised</w:t>
      </w:r>
      <w:proofErr w:type="spellEnd"/>
      <w:r w:rsidRPr="00413276">
        <w:rPr>
          <w:rFonts w:ascii="Arial" w:hAnsi="Arial" w:cs="Arial"/>
          <w:color w:val="231F20"/>
          <w:sz w:val="24"/>
          <w:szCs w:val="24"/>
        </w:rPr>
        <w:t xml:space="preserve"> stock exchange in India” shall be substituted;</w:t>
      </w:r>
    </w:p>
    <w:p w:rsidR="00FE3384" w:rsidRPr="00413276" w:rsidRDefault="00FE3384" w:rsidP="00413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413276" w:rsidRDefault="00413276" w:rsidP="00413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413276">
        <w:rPr>
          <w:rFonts w:ascii="Arial" w:hAnsi="Arial" w:cs="Arial"/>
          <w:color w:val="231F20"/>
          <w:sz w:val="24"/>
          <w:szCs w:val="24"/>
        </w:rPr>
        <w:t>(</w:t>
      </w:r>
      <w:r w:rsidRPr="00413276">
        <w:rPr>
          <w:rFonts w:ascii="Arial" w:hAnsi="Arial" w:cs="Arial"/>
          <w:i/>
          <w:iCs/>
          <w:color w:val="231F20"/>
          <w:sz w:val="24"/>
          <w:szCs w:val="24"/>
        </w:rPr>
        <w:t>ii</w:t>
      </w:r>
      <w:r w:rsidRPr="00413276">
        <w:rPr>
          <w:rFonts w:ascii="Arial" w:hAnsi="Arial" w:cs="Arial"/>
          <w:color w:val="231F20"/>
          <w:sz w:val="24"/>
          <w:szCs w:val="24"/>
        </w:rPr>
        <w:t>) for the words, brackets, figures and letter “a unit of a Mutual Fund specified under clause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413276">
        <w:rPr>
          <w:rFonts w:ascii="Arial" w:hAnsi="Arial" w:cs="Arial"/>
          <w:color w:val="231F20"/>
          <w:sz w:val="24"/>
          <w:szCs w:val="24"/>
        </w:rPr>
        <w:t>(</w:t>
      </w:r>
      <w:r w:rsidRPr="00413276">
        <w:rPr>
          <w:rFonts w:ascii="Arial" w:hAnsi="Arial" w:cs="Arial"/>
          <w:i/>
          <w:iCs/>
          <w:color w:val="231F20"/>
          <w:sz w:val="24"/>
          <w:szCs w:val="24"/>
        </w:rPr>
        <w:t>23D</w:t>
      </w:r>
      <w:r w:rsidRPr="00413276">
        <w:rPr>
          <w:rFonts w:ascii="Arial" w:hAnsi="Arial" w:cs="Arial"/>
          <w:color w:val="231F20"/>
          <w:sz w:val="24"/>
          <w:szCs w:val="24"/>
        </w:rPr>
        <w:t>) of section 10”, the words “a unit of an equity oriented fund” shall be substituted;</w:t>
      </w:r>
    </w:p>
    <w:p w:rsidR="00413276" w:rsidRPr="00413276" w:rsidRDefault="00413276" w:rsidP="00413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413276" w:rsidRDefault="00413276" w:rsidP="00413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413276">
        <w:rPr>
          <w:rFonts w:ascii="Arial" w:hAnsi="Arial" w:cs="Arial"/>
          <w:color w:val="231F20"/>
          <w:sz w:val="24"/>
          <w:szCs w:val="24"/>
        </w:rPr>
        <w:t>(</w:t>
      </w:r>
      <w:r w:rsidRPr="00413276">
        <w:rPr>
          <w:rFonts w:ascii="Arial" w:hAnsi="Arial" w:cs="Arial"/>
          <w:i/>
          <w:iCs/>
          <w:color w:val="231F20"/>
          <w:sz w:val="24"/>
          <w:szCs w:val="24"/>
        </w:rPr>
        <w:t>B</w:t>
      </w:r>
      <w:r w:rsidRPr="00413276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413276">
        <w:rPr>
          <w:rFonts w:ascii="Arial" w:hAnsi="Arial" w:cs="Arial"/>
          <w:color w:val="231F20"/>
          <w:sz w:val="24"/>
          <w:szCs w:val="24"/>
        </w:rPr>
        <w:t>in</w:t>
      </w:r>
      <w:proofErr w:type="gramEnd"/>
      <w:r w:rsidRPr="00413276">
        <w:rPr>
          <w:rFonts w:ascii="Arial" w:hAnsi="Arial" w:cs="Arial"/>
          <w:color w:val="231F20"/>
          <w:sz w:val="24"/>
          <w:szCs w:val="24"/>
        </w:rPr>
        <w:t xml:space="preserve"> the </w:t>
      </w:r>
      <w:r w:rsidRPr="00413276">
        <w:rPr>
          <w:rFonts w:ascii="Arial" w:hAnsi="Arial" w:cs="Arial"/>
          <w:i/>
          <w:iCs/>
          <w:color w:val="231F20"/>
          <w:sz w:val="24"/>
          <w:szCs w:val="24"/>
        </w:rPr>
        <w:t>Explanation 1</w:t>
      </w:r>
      <w:r w:rsidRPr="00413276">
        <w:rPr>
          <w:rFonts w:ascii="Arial" w:hAnsi="Arial" w:cs="Arial"/>
          <w:color w:val="231F20"/>
          <w:sz w:val="24"/>
          <w:szCs w:val="24"/>
        </w:rPr>
        <w:t>, in clause (</w:t>
      </w:r>
      <w:proofErr w:type="spellStart"/>
      <w:r w:rsidRPr="00413276">
        <w:rPr>
          <w:rFonts w:ascii="Arial" w:hAnsi="Arial" w:cs="Arial"/>
          <w:i/>
          <w:iCs/>
          <w:color w:val="231F20"/>
          <w:sz w:val="24"/>
          <w:szCs w:val="24"/>
        </w:rPr>
        <w:t>i</w:t>
      </w:r>
      <w:proofErr w:type="spellEnd"/>
      <w:r w:rsidRPr="00413276">
        <w:rPr>
          <w:rFonts w:ascii="Arial" w:hAnsi="Arial" w:cs="Arial"/>
          <w:color w:val="231F20"/>
          <w:sz w:val="24"/>
          <w:szCs w:val="24"/>
        </w:rPr>
        <w:t>), after sub-clause (</w:t>
      </w:r>
      <w:proofErr w:type="spellStart"/>
      <w:r w:rsidRPr="00413276">
        <w:rPr>
          <w:rFonts w:ascii="Arial" w:hAnsi="Arial" w:cs="Arial"/>
          <w:i/>
          <w:iCs/>
          <w:color w:val="231F20"/>
          <w:sz w:val="24"/>
          <w:szCs w:val="24"/>
        </w:rPr>
        <w:t>hb</w:t>
      </w:r>
      <w:proofErr w:type="spellEnd"/>
      <w:r w:rsidRPr="00413276">
        <w:rPr>
          <w:rFonts w:ascii="Arial" w:hAnsi="Arial" w:cs="Arial"/>
          <w:color w:val="231F20"/>
          <w:sz w:val="24"/>
          <w:szCs w:val="24"/>
        </w:rPr>
        <w:t>), the following sub-clause shall be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413276">
        <w:rPr>
          <w:rFonts w:ascii="Arial" w:hAnsi="Arial" w:cs="Arial"/>
          <w:color w:val="231F20"/>
          <w:sz w:val="24"/>
          <w:szCs w:val="24"/>
        </w:rPr>
        <w:t xml:space="preserve">inserted with effect from the </w:t>
      </w:r>
      <w:r w:rsidRPr="00FE3384">
        <w:rPr>
          <w:rFonts w:ascii="Arial" w:hAnsi="Arial" w:cs="Arial"/>
          <w:b/>
          <w:color w:val="231F20"/>
          <w:sz w:val="24"/>
          <w:szCs w:val="24"/>
        </w:rPr>
        <w:t>1st day of October, 2014</w:t>
      </w:r>
      <w:r w:rsidRPr="00413276">
        <w:rPr>
          <w:rFonts w:ascii="Arial" w:hAnsi="Arial" w:cs="Arial"/>
          <w:color w:val="231F20"/>
          <w:sz w:val="24"/>
          <w:szCs w:val="24"/>
        </w:rPr>
        <w:t>, namely:––</w:t>
      </w:r>
    </w:p>
    <w:p w:rsidR="00413276" w:rsidRPr="00413276" w:rsidRDefault="00413276" w:rsidP="00413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5015BD" w:rsidRDefault="00413276" w:rsidP="00413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31F20"/>
          <w:sz w:val="24"/>
          <w:szCs w:val="24"/>
        </w:rPr>
      </w:pPr>
      <w:r w:rsidRPr="00413276">
        <w:rPr>
          <w:rFonts w:ascii="Arial" w:hAnsi="Arial" w:cs="Arial"/>
          <w:b/>
          <w:color w:val="231F20"/>
          <w:sz w:val="24"/>
          <w:szCs w:val="24"/>
        </w:rPr>
        <w:t>“(</w:t>
      </w:r>
      <w:proofErr w:type="spellStart"/>
      <w:r w:rsidRPr="00413276">
        <w:rPr>
          <w:rFonts w:ascii="Arial" w:hAnsi="Arial" w:cs="Arial"/>
          <w:b/>
          <w:i/>
          <w:iCs/>
          <w:color w:val="231F20"/>
          <w:sz w:val="24"/>
          <w:szCs w:val="24"/>
        </w:rPr>
        <w:t>hc</w:t>
      </w:r>
      <w:proofErr w:type="spellEnd"/>
      <w:r w:rsidRPr="00413276">
        <w:rPr>
          <w:rFonts w:ascii="Arial" w:hAnsi="Arial" w:cs="Arial"/>
          <w:b/>
          <w:color w:val="231F20"/>
          <w:sz w:val="24"/>
          <w:szCs w:val="24"/>
        </w:rPr>
        <w:t>) in the case of a capital asset, being a uni</w:t>
      </w:r>
      <w:r>
        <w:rPr>
          <w:rFonts w:ascii="Arial" w:hAnsi="Arial" w:cs="Arial"/>
          <w:b/>
          <w:color w:val="231F20"/>
          <w:sz w:val="24"/>
          <w:szCs w:val="24"/>
        </w:rPr>
        <w:t xml:space="preserve">t of a business trust, allotted  </w:t>
      </w:r>
      <w:r w:rsidRPr="00413276">
        <w:rPr>
          <w:rFonts w:ascii="Arial" w:hAnsi="Arial" w:cs="Arial"/>
          <w:b/>
          <w:color w:val="231F20"/>
          <w:sz w:val="24"/>
          <w:szCs w:val="24"/>
        </w:rPr>
        <w:t>pursuant to</w:t>
      </w:r>
      <w:r>
        <w:rPr>
          <w:rFonts w:ascii="Arial" w:hAnsi="Arial" w:cs="Arial"/>
          <w:b/>
          <w:color w:val="231F20"/>
          <w:sz w:val="24"/>
          <w:szCs w:val="24"/>
        </w:rPr>
        <w:t xml:space="preserve"> </w:t>
      </w:r>
      <w:r w:rsidRPr="00413276">
        <w:rPr>
          <w:rFonts w:ascii="Arial" w:hAnsi="Arial" w:cs="Arial"/>
          <w:b/>
          <w:color w:val="231F20"/>
          <w:sz w:val="24"/>
          <w:szCs w:val="24"/>
        </w:rPr>
        <w:t>transfer of share or shares as referred to in clause (</w:t>
      </w:r>
      <w:r w:rsidRPr="00413276">
        <w:rPr>
          <w:rFonts w:ascii="Arial" w:hAnsi="Arial" w:cs="Arial"/>
          <w:b/>
          <w:i/>
          <w:iCs/>
          <w:color w:val="231F20"/>
          <w:sz w:val="24"/>
          <w:szCs w:val="24"/>
        </w:rPr>
        <w:t>xvii</w:t>
      </w:r>
      <w:r w:rsidRPr="00413276">
        <w:rPr>
          <w:rFonts w:ascii="Arial" w:hAnsi="Arial" w:cs="Arial"/>
          <w:b/>
          <w:color w:val="231F20"/>
          <w:sz w:val="24"/>
          <w:szCs w:val="24"/>
        </w:rPr>
        <w:t xml:space="preserve">) of section 47, there shall be included the period for which the share or shares were held by the </w:t>
      </w:r>
      <w:proofErr w:type="spellStart"/>
      <w:r w:rsidRPr="00413276">
        <w:rPr>
          <w:rFonts w:ascii="Arial" w:hAnsi="Arial" w:cs="Arial"/>
          <w:b/>
          <w:color w:val="231F20"/>
          <w:sz w:val="24"/>
          <w:szCs w:val="24"/>
        </w:rPr>
        <w:t>assessee</w:t>
      </w:r>
      <w:proofErr w:type="spellEnd"/>
      <w:r w:rsidRPr="00413276">
        <w:rPr>
          <w:rFonts w:ascii="Arial" w:hAnsi="Arial" w:cs="Arial"/>
          <w:b/>
          <w:color w:val="231F20"/>
          <w:sz w:val="24"/>
          <w:szCs w:val="24"/>
        </w:rPr>
        <w:t>;”;</w:t>
      </w:r>
    </w:p>
    <w:p w:rsidR="00FE3384" w:rsidRPr="00FE3384" w:rsidRDefault="00FE3384" w:rsidP="00413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31F20"/>
          <w:sz w:val="24"/>
          <w:szCs w:val="24"/>
        </w:rPr>
      </w:pPr>
    </w:p>
    <w:p w:rsidR="00FE3384" w:rsidRPr="00FE3384" w:rsidRDefault="00FE3384" w:rsidP="00FE33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24"/>
          <w:szCs w:val="24"/>
        </w:rPr>
      </w:pPr>
      <w:r w:rsidRPr="00FE3384">
        <w:rPr>
          <w:rFonts w:ascii="Arial" w:hAnsi="Arial" w:cs="Arial"/>
          <w:color w:val="231F20"/>
          <w:sz w:val="24"/>
          <w:szCs w:val="24"/>
        </w:rPr>
        <w:t>(</w:t>
      </w:r>
      <w:r w:rsidRPr="00FE3384">
        <w:rPr>
          <w:rFonts w:ascii="Arial" w:hAnsi="Arial" w:cs="Arial"/>
          <w:i/>
          <w:iCs/>
          <w:color w:val="231F20"/>
          <w:sz w:val="24"/>
          <w:szCs w:val="24"/>
        </w:rPr>
        <w:t>C</w:t>
      </w:r>
      <w:r w:rsidRPr="00FE3384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FE3384">
        <w:rPr>
          <w:rFonts w:ascii="Arial" w:hAnsi="Arial" w:cs="Arial"/>
          <w:color w:val="231F20"/>
          <w:sz w:val="24"/>
          <w:szCs w:val="24"/>
        </w:rPr>
        <w:t>after</w:t>
      </w:r>
      <w:proofErr w:type="gramEnd"/>
      <w:r w:rsidRPr="00FE3384">
        <w:rPr>
          <w:rFonts w:ascii="Arial" w:hAnsi="Arial" w:cs="Arial"/>
          <w:color w:val="231F20"/>
          <w:sz w:val="24"/>
          <w:szCs w:val="24"/>
        </w:rPr>
        <w:t xml:space="preserve"> </w:t>
      </w:r>
      <w:r w:rsidRPr="00FE3384">
        <w:rPr>
          <w:rFonts w:ascii="Arial" w:hAnsi="Arial" w:cs="Arial"/>
          <w:i/>
          <w:iCs/>
          <w:color w:val="231F20"/>
          <w:sz w:val="24"/>
          <w:szCs w:val="24"/>
        </w:rPr>
        <w:t>Explanation 3</w:t>
      </w:r>
      <w:r w:rsidRPr="00FE3384">
        <w:rPr>
          <w:rFonts w:ascii="Arial" w:hAnsi="Arial" w:cs="Arial"/>
          <w:color w:val="231F20"/>
          <w:sz w:val="24"/>
          <w:szCs w:val="24"/>
        </w:rPr>
        <w:t xml:space="preserve">, the following </w:t>
      </w:r>
      <w:r w:rsidRPr="00FE3384">
        <w:rPr>
          <w:rFonts w:ascii="Arial" w:hAnsi="Arial" w:cs="Arial"/>
          <w:i/>
          <w:iCs/>
          <w:color w:val="231F20"/>
          <w:sz w:val="24"/>
          <w:szCs w:val="24"/>
        </w:rPr>
        <w:t xml:space="preserve">Explanation </w:t>
      </w:r>
      <w:r w:rsidRPr="00FE3384">
        <w:rPr>
          <w:rFonts w:ascii="Arial" w:hAnsi="Arial" w:cs="Arial"/>
          <w:color w:val="231F20"/>
          <w:sz w:val="24"/>
          <w:szCs w:val="24"/>
        </w:rPr>
        <w:t>shall be inserted with effect from the</w:t>
      </w:r>
    </w:p>
    <w:p w:rsidR="00FE3384" w:rsidRDefault="00FE3384" w:rsidP="00FE33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24"/>
          <w:szCs w:val="24"/>
        </w:rPr>
      </w:pPr>
      <w:r w:rsidRPr="00FE3384">
        <w:rPr>
          <w:rFonts w:ascii="Arial" w:hAnsi="Arial" w:cs="Arial"/>
          <w:color w:val="231F20"/>
          <w:sz w:val="24"/>
          <w:szCs w:val="24"/>
        </w:rPr>
        <w:t>1st day of April, 2015, namely:––</w:t>
      </w:r>
    </w:p>
    <w:p w:rsidR="00FE3384" w:rsidRPr="00FE3384" w:rsidRDefault="00FE3384" w:rsidP="00FE33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24"/>
          <w:szCs w:val="24"/>
        </w:rPr>
      </w:pPr>
    </w:p>
    <w:p w:rsidR="00FE3384" w:rsidRPr="00FE3384" w:rsidRDefault="00FE3384" w:rsidP="00FE33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24"/>
          <w:szCs w:val="24"/>
        </w:rPr>
      </w:pPr>
      <w:r w:rsidRPr="00FE3384">
        <w:rPr>
          <w:rFonts w:ascii="Arial" w:hAnsi="Arial" w:cs="Arial"/>
          <w:color w:val="231F20"/>
          <w:sz w:val="24"/>
          <w:szCs w:val="24"/>
        </w:rPr>
        <w:t>‘</w:t>
      </w:r>
      <w:r w:rsidRPr="00FE3384">
        <w:rPr>
          <w:rFonts w:ascii="Arial" w:hAnsi="Arial" w:cs="Arial"/>
          <w:i/>
          <w:iCs/>
          <w:color w:val="231F20"/>
          <w:sz w:val="24"/>
          <w:szCs w:val="24"/>
        </w:rPr>
        <w:t>Explanation 4</w:t>
      </w:r>
      <w:r w:rsidRPr="00FE3384">
        <w:rPr>
          <w:rFonts w:ascii="Arial" w:hAnsi="Arial" w:cs="Arial"/>
          <w:color w:val="231F20"/>
          <w:sz w:val="24"/>
          <w:szCs w:val="24"/>
        </w:rPr>
        <w:t>.––For the purposes of this clause, the expression “equity oriented fund”</w:t>
      </w:r>
    </w:p>
    <w:p w:rsidR="00FE3384" w:rsidRDefault="00FE3384" w:rsidP="00FE33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proofErr w:type="gramStart"/>
      <w:r w:rsidRPr="00FE3384">
        <w:rPr>
          <w:rFonts w:ascii="Arial" w:hAnsi="Arial" w:cs="Arial"/>
          <w:color w:val="231F20"/>
          <w:sz w:val="24"/>
          <w:szCs w:val="24"/>
        </w:rPr>
        <w:t>shall</w:t>
      </w:r>
      <w:proofErr w:type="gramEnd"/>
      <w:r w:rsidRPr="00FE3384">
        <w:rPr>
          <w:rFonts w:ascii="Arial" w:hAnsi="Arial" w:cs="Arial"/>
          <w:color w:val="231F20"/>
          <w:sz w:val="24"/>
          <w:szCs w:val="24"/>
        </w:rPr>
        <w:t xml:space="preserve"> have the meaning assigned to it in the </w:t>
      </w:r>
      <w:r w:rsidRPr="00FE3384">
        <w:rPr>
          <w:rFonts w:ascii="Arial" w:hAnsi="Arial" w:cs="Arial"/>
          <w:i/>
          <w:iCs/>
          <w:color w:val="231F20"/>
          <w:sz w:val="24"/>
          <w:szCs w:val="24"/>
        </w:rPr>
        <w:t xml:space="preserve">Explanation </w:t>
      </w:r>
      <w:r w:rsidRPr="00FE3384">
        <w:rPr>
          <w:rFonts w:ascii="Arial" w:hAnsi="Arial" w:cs="Arial"/>
          <w:color w:val="231F20"/>
          <w:sz w:val="24"/>
          <w:szCs w:val="24"/>
        </w:rPr>
        <w:t>to clause (</w:t>
      </w:r>
      <w:r w:rsidRPr="00FE3384">
        <w:rPr>
          <w:rFonts w:ascii="Arial" w:hAnsi="Arial" w:cs="Arial"/>
          <w:i/>
          <w:iCs/>
          <w:color w:val="231F20"/>
          <w:sz w:val="24"/>
          <w:szCs w:val="24"/>
        </w:rPr>
        <w:t>38</w:t>
      </w:r>
      <w:r w:rsidRPr="00FE3384">
        <w:rPr>
          <w:rFonts w:ascii="Arial" w:hAnsi="Arial" w:cs="Arial"/>
          <w:color w:val="231F20"/>
          <w:sz w:val="24"/>
          <w:szCs w:val="24"/>
        </w:rPr>
        <w:t>) of section 10;’</w:t>
      </w:r>
    </w:p>
    <w:p w:rsidR="008955BB" w:rsidRDefault="008955BB" w:rsidP="00FE33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8955BB" w:rsidRDefault="008955BB" w:rsidP="008955BB">
      <w:pPr>
        <w:pStyle w:val="NormalWeb"/>
        <w:pBdr>
          <w:top w:val="single" w:sz="4" w:space="1" w:color="auto"/>
          <w:bottom w:val="single" w:sz="4" w:space="1" w:color="auto"/>
        </w:pBdr>
      </w:pPr>
      <w:r>
        <w:rPr>
          <w:rStyle w:val="Strong"/>
        </w:rPr>
        <w:t>Long-term Capital Gains on debt oriented Mutual Fund and its qualification as Short-term capital asset</w:t>
      </w:r>
    </w:p>
    <w:p w:rsidR="008955BB" w:rsidRPr="008955BB" w:rsidRDefault="008955BB" w:rsidP="008955BB">
      <w:pPr>
        <w:pStyle w:val="NormalWeb"/>
        <w:jc w:val="both"/>
        <w:rPr>
          <w:rFonts w:ascii="Arial" w:hAnsi="Arial" w:cs="Arial"/>
        </w:rPr>
      </w:pPr>
      <w:r w:rsidRPr="008955BB">
        <w:rPr>
          <w:rFonts w:ascii="Arial" w:hAnsi="Arial" w:cs="Arial"/>
        </w:rPr>
        <w:t xml:space="preserve">The existing provisions contained in clause (42A) of section 2 of the Act provides that short-term capital asset means a capital asset held by an </w:t>
      </w:r>
      <w:proofErr w:type="spellStart"/>
      <w:r w:rsidRPr="008955BB">
        <w:rPr>
          <w:rFonts w:ascii="Arial" w:hAnsi="Arial" w:cs="Arial"/>
        </w:rPr>
        <w:t>assessee</w:t>
      </w:r>
      <w:proofErr w:type="spellEnd"/>
      <w:r w:rsidRPr="008955BB">
        <w:rPr>
          <w:rFonts w:ascii="Arial" w:hAnsi="Arial" w:cs="Arial"/>
        </w:rPr>
        <w:t xml:space="preserve"> for not more than thirty six months immediately preceding the date of its transfer. However, in the case of a share held in a company or any other security listed in a </w:t>
      </w:r>
      <w:proofErr w:type="spellStart"/>
      <w:r w:rsidRPr="008955BB">
        <w:rPr>
          <w:rFonts w:ascii="Arial" w:hAnsi="Arial" w:cs="Arial"/>
        </w:rPr>
        <w:t>recognised</w:t>
      </w:r>
      <w:proofErr w:type="spellEnd"/>
      <w:r w:rsidRPr="008955BB">
        <w:rPr>
          <w:rFonts w:ascii="Arial" w:hAnsi="Arial" w:cs="Arial"/>
        </w:rPr>
        <w:t xml:space="preserve"> stock exchange in India or a unit of the Unit Trust of India or a unit of a Mutual Fund or a zero coupon bond, the period of holding for qualifying it as short-term capital asset is not more than twelve months.</w:t>
      </w:r>
    </w:p>
    <w:p w:rsidR="008955BB" w:rsidRPr="008955BB" w:rsidRDefault="008955BB" w:rsidP="008955BB">
      <w:pPr>
        <w:pStyle w:val="NormalWeb"/>
        <w:jc w:val="both"/>
        <w:rPr>
          <w:rFonts w:ascii="Arial" w:hAnsi="Arial" w:cs="Arial"/>
        </w:rPr>
      </w:pPr>
      <w:r w:rsidRPr="008955BB">
        <w:rPr>
          <w:rFonts w:ascii="Arial" w:hAnsi="Arial" w:cs="Arial"/>
        </w:rPr>
        <w:t>     The shorter period of holding of not more than twelve months for consideration as short-term capital asset was introduced for encouraging investment on stock market where prices of the securities are market determined.</w:t>
      </w:r>
    </w:p>
    <w:p w:rsidR="008955BB" w:rsidRPr="008955BB" w:rsidRDefault="008955BB" w:rsidP="008955BB">
      <w:pPr>
        <w:pStyle w:val="NormalWeb"/>
        <w:jc w:val="both"/>
        <w:rPr>
          <w:rFonts w:ascii="Arial" w:hAnsi="Arial" w:cs="Arial"/>
        </w:rPr>
      </w:pPr>
      <w:r w:rsidRPr="008955BB">
        <w:rPr>
          <w:rFonts w:ascii="Arial" w:hAnsi="Arial" w:cs="Arial"/>
        </w:rPr>
        <w:lastRenderedPageBreak/>
        <w:t>     Accordingly, it is proposed to amend the aforesaid clause (42A) of section 2 so as to provide that an unlisted security and a unit of a mutual fund (other than an equity oriented mutual fund) shall be a short-term capital asset if it is held for not more than thirty-six months.</w:t>
      </w:r>
    </w:p>
    <w:p w:rsidR="008955BB" w:rsidRPr="008955BB" w:rsidRDefault="008955BB" w:rsidP="008955BB">
      <w:pPr>
        <w:pStyle w:val="NormalWeb"/>
        <w:jc w:val="both"/>
        <w:rPr>
          <w:rFonts w:ascii="Arial" w:hAnsi="Arial" w:cs="Arial"/>
        </w:rPr>
      </w:pPr>
      <w:r w:rsidRPr="008955BB">
        <w:rPr>
          <w:rFonts w:ascii="Arial" w:hAnsi="Arial" w:cs="Arial"/>
        </w:rPr>
        <w:t>     These amendments will take effect from 1st April, 2015 and will accordingly apply, in relation to the assessment year 2015-16 and subsequent assessment years.</w:t>
      </w:r>
    </w:p>
    <w:p w:rsidR="008955BB" w:rsidRPr="00FE3384" w:rsidRDefault="008955BB" w:rsidP="008955BB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31F20"/>
          <w:sz w:val="24"/>
          <w:szCs w:val="24"/>
        </w:rPr>
      </w:pPr>
    </w:p>
    <w:sectPr w:rsidR="008955BB" w:rsidRPr="00FE3384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02443"/>
    <w:multiLevelType w:val="hybridMultilevel"/>
    <w:tmpl w:val="5EF200F6"/>
    <w:lvl w:ilvl="0" w:tplc="C026F94C">
      <w:start w:val="1"/>
      <w:numFmt w:val="upperLetter"/>
      <w:lvlText w:val="(%1)"/>
      <w:lvlJc w:val="left"/>
      <w:pPr>
        <w:ind w:left="735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413276"/>
    <w:rsid w:val="00381FDC"/>
    <w:rsid w:val="00413276"/>
    <w:rsid w:val="005015BD"/>
    <w:rsid w:val="008955BB"/>
    <w:rsid w:val="00931A04"/>
    <w:rsid w:val="009F5D8C"/>
    <w:rsid w:val="00FE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38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95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955BB"/>
    <w:rPr>
      <w:b/>
      <w:bCs/>
    </w:rPr>
  </w:style>
  <w:style w:type="table" w:styleId="TableGrid">
    <w:name w:val="Table Grid"/>
    <w:basedOn w:val="TableNormal"/>
    <w:uiPriority w:val="59"/>
    <w:rsid w:val="00381F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3</cp:revision>
  <dcterms:created xsi:type="dcterms:W3CDTF">2014-07-16T06:00:00Z</dcterms:created>
  <dcterms:modified xsi:type="dcterms:W3CDTF">2014-07-16T17:50:00Z</dcterms:modified>
</cp:coreProperties>
</file>